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58A6" w14:textId="3EED7E2C" w:rsidR="006D280C" w:rsidRDefault="006D280C" w:rsidP="00D30718">
      <w:pPr>
        <w:spacing w:before="78"/>
        <w:ind w:left="120"/>
        <w:jc w:val="center"/>
        <w:rPr>
          <w:b/>
          <w:sz w:val="32"/>
        </w:rPr>
      </w:pPr>
      <w:bookmarkStart w:id="0" w:name="_GoBack"/>
      <w:bookmarkEnd w:id="0"/>
      <w:r>
        <w:rPr>
          <w:noProof/>
        </w:rPr>
        <w:drawing>
          <wp:inline distT="0" distB="0" distL="0" distR="0" wp14:anchorId="380E31D4" wp14:editId="71060C6D">
            <wp:extent cx="4913629" cy="9086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13629" cy="908685"/>
                    </a:xfrm>
                    <a:prstGeom prst="rect">
                      <a:avLst/>
                    </a:prstGeom>
                  </pic:spPr>
                </pic:pic>
              </a:graphicData>
            </a:graphic>
          </wp:inline>
        </w:drawing>
      </w:r>
    </w:p>
    <w:p w14:paraId="782CD124" w14:textId="77777777" w:rsidR="006D280C" w:rsidRDefault="006D280C">
      <w:pPr>
        <w:spacing w:before="78"/>
        <w:ind w:left="120"/>
        <w:rPr>
          <w:b/>
          <w:sz w:val="32"/>
        </w:rPr>
      </w:pPr>
    </w:p>
    <w:p w14:paraId="3DD96E78" w14:textId="3E6185A9" w:rsidR="0065137C" w:rsidRDefault="0065137C" w:rsidP="76401084">
      <w:pPr>
        <w:spacing w:before="78"/>
        <w:ind w:left="120"/>
        <w:rPr>
          <w:b/>
          <w:bCs/>
          <w:sz w:val="32"/>
          <w:szCs w:val="32"/>
        </w:rPr>
      </w:pPr>
      <w:r w:rsidRPr="736AEBA2">
        <w:rPr>
          <w:b/>
          <w:bCs/>
          <w:sz w:val="32"/>
          <w:szCs w:val="32"/>
        </w:rPr>
        <w:t xml:space="preserve">Criminal Background Check Policy </w:t>
      </w:r>
    </w:p>
    <w:p w14:paraId="21128D92" w14:textId="35A025CF" w:rsidR="00CA2B94" w:rsidRPr="005A2B1A" w:rsidRDefault="005A2B1A" w:rsidP="00124B87">
      <w:pPr>
        <w:pStyle w:val="Heading2"/>
        <w:rPr>
          <w:bCs w:val="0"/>
          <w:sz w:val="32"/>
          <w:szCs w:val="28"/>
        </w:rPr>
      </w:pPr>
      <w:r w:rsidRPr="005A2B1A">
        <w:rPr>
          <w:bCs w:val="0"/>
          <w:sz w:val="32"/>
          <w:szCs w:val="28"/>
        </w:rPr>
        <w:t>AS-07-</w:t>
      </w:r>
      <w:r>
        <w:rPr>
          <w:bCs w:val="0"/>
          <w:sz w:val="32"/>
          <w:szCs w:val="28"/>
        </w:rPr>
        <w:t>C</w:t>
      </w:r>
    </w:p>
    <w:p w14:paraId="29CDB21D" w14:textId="77777777" w:rsidR="005A2B1A" w:rsidRDefault="005A2B1A" w:rsidP="00124B87">
      <w:pPr>
        <w:pStyle w:val="Heading2"/>
      </w:pPr>
    </w:p>
    <w:p w14:paraId="5FCDCE6A" w14:textId="77777777" w:rsidR="00CA2B94" w:rsidRDefault="00BD4AE6">
      <w:pPr>
        <w:pStyle w:val="BodyText"/>
        <w:spacing w:before="2"/>
        <w:rPr>
          <w:b/>
        </w:rPr>
      </w:pPr>
      <w:r>
        <w:rPr>
          <w:noProof/>
        </w:rPr>
        <mc:AlternateContent>
          <mc:Choice Requires="wps">
            <w:drawing>
              <wp:inline distT="0" distB="0" distL="0" distR="0" wp14:anchorId="25925D36" wp14:editId="037FFCEF">
                <wp:extent cx="7169285" cy="2404872"/>
                <wp:effectExtent l="0" t="0" r="0" b="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285" cy="2404872"/>
                        </a:xfrm>
                        <a:prstGeom prst="rect">
                          <a:avLst/>
                        </a:prstGeom>
                        <a:solidFill>
                          <a:srgbClr val="E7E5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54C3A033" w14:textId="7F3C0A3E" w:rsidR="006D280C" w:rsidRDefault="002A101F" w:rsidP="006D280C">
                            <w:pPr>
                              <w:ind w:left="160"/>
                              <w:rPr>
                                <w:b/>
                                <w:sz w:val="24"/>
                                <w:szCs w:val="24"/>
                              </w:rPr>
                            </w:pPr>
                            <w:r>
                              <w:rPr>
                                <w:b/>
                                <w:sz w:val="24"/>
                                <w:szCs w:val="24"/>
                              </w:rPr>
                              <w:t>02-24-2017</w:t>
                            </w:r>
                          </w:p>
                          <w:p w14:paraId="22E0623E" w14:textId="77777777" w:rsidR="002A101F" w:rsidRPr="006D280C" w:rsidRDefault="002A101F"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54C19957" w14:textId="76B028DC" w:rsidR="00CA2B94" w:rsidRPr="006D280C" w:rsidRDefault="005A2B1A" w:rsidP="006D280C">
                            <w:pPr>
                              <w:pStyle w:val="BodyText"/>
                              <w:ind w:left="160"/>
                              <w:rPr>
                                <w:i/>
                                <w:sz w:val="24"/>
                                <w:szCs w:val="24"/>
                              </w:rPr>
                            </w:pPr>
                            <w:r>
                              <w:rPr>
                                <w:i/>
                                <w:sz w:val="24"/>
                                <w:szCs w:val="24"/>
                              </w:rPr>
                              <w:t xml:space="preserve">02-24-2017, 05-20-2020, </w:t>
                            </w:r>
                            <w:r w:rsidR="002A101F">
                              <w:rPr>
                                <w:i/>
                                <w:sz w:val="24"/>
                                <w:szCs w:val="24"/>
                              </w:rPr>
                              <w:t>2-12-2021</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59DAFB1F" w14:textId="495326C6" w:rsidR="006D280C" w:rsidRDefault="005A2B1A" w:rsidP="006D280C">
                            <w:pPr>
                              <w:ind w:left="160"/>
                              <w:rPr>
                                <w:rStyle w:val="Strong"/>
                                <w:b w:val="0"/>
                                <w:i/>
                                <w:iCs/>
                                <w:sz w:val="24"/>
                                <w:szCs w:val="24"/>
                              </w:rPr>
                            </w:pPr>
                            <w:r>
                              <w:rPr>
                                <w:rStyle w:val="Strong"/>
                                <w:b w:val="0"/>
                                <w:i/>
                                <w:iCs/>
                                <w:sz w:val="24"/>
                                <w:szCs w:val="24"/>
                              </w:rPr>
                              <w:t>College Faculty President</w:t>
                            </w:r>
                          </w:p>
                          <w:p w14:paraId="6F1BA274" w14:textId="423D2B7F" w:rsidR="0080748F" w:rsidRDefault="0080748F"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5925D36" id="_x0000_t202" coordsize="21600,21600" o:spt="202" path="m,l,21600r21600,l21600,xe">
                <v:stroke joinstyle="miter"/>
                <v:path gradientshapeok="t" o:connecttype="rect"/>
              </v:shapetype>
              <v:shape id="Text Box 5" o:spid="_x0000_s1026" type="#_x0000_t202" style="width:564.5pt;height:18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" fillcolor="#e7e5e4" stroked="f">
                <v:textbox inset="0,0,0,0">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54C3A033" w14:textId="7F3C0A3E" w:rsidR="006D280C" w:rsidRDefault="002A101F" w:rsidP="006D280C">
                      <w:pPr>
                        <w:ind w:left="160"/>
                        <w:rPr>
                          <w:b/>
                          <w:sz w:val="24"/>
                          <w:szCs w:val="24"/>
                        </w:rPr>
                      </w:pPr>
                      <w:r>
                        <w:rPr>
                          <w:b/>
                          <w:sz w:val="24"/>
                          <w:szCs w:val="24"/>
                        </w:rPr>
                        <w:t>02-24-2017</w:t>
                      </w:r>
                      <w:bookmarkStart w:id="1" w:name="_GoBack"/>
                      <w:bookmarkEnd w:id="1"/>
                    </w:p>
                    <w:p w14:paraId="22E0623E" w14:textId="77777777" w:rsidR="002A101F" w:rsidRPr="006D280C" w:rsidRDefault="002A101F"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54C19957" w14:textId="76B028DC" w:rsidR="00CA2B94" w:rsidRPr="006D280C" w:rsidRDefault="005A2B1A" w:rsidP="006D280C">
                      <w:pPr>
                        <w:pStyle w:val="BodyText"/>
                        <w:ind w:left="160"/>
                        <w:rPr>
                          <w:i/>
                          <w:sz w:val="24"/>
                          <w:szCs w:val="24"/>
                        </w:rPr>
                      </w:pPr>
                      <w:r>
                        <w:rPr>
                          <w:i/>
                          <w:sz w:val="24"/>
                          <w:szCs w:val="24"/>
                        </w:rPr>
                        <w:t xml:space="preserve">02-24-2017, 05-20-2020, </w:t>
                      </w:r>
                      <w:r w:rsidR="002A101F">
                        <w:rPr>
                          <w:i/>
                          <w:sz w:val="24"/>
                          <w:szCs w:val="24"/>
                        </w:rPr>
                        <w:t>2-12-2021</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59DAFB1F" w14:textId="495326C6" w:rsidR="006D280C" w:rsidRDefault="005A2B1A" w:rsidP="006D280C">
                      <w:pPr>
                        <w:ind w:left="160"/>
                        <w:rPr>
                          <w:rStyle w:val="Strong"/>
                          <w:b w:val="0"/>
                          <w:i/>
                          <w:iCs/>
                          <w:sz w:val="24"/>
                          <w:szCs w:val="24"/>
                        </w:rPr>
                      </w:pPr>
                      <w:r>
                        <w:rPr>
                          <w:rStyle w:val="Strong"/>
                          <w:b w:val="0"/>
                          <w:i/>
                          <w:iCs/>
                          <w:sz w:val="24"/>
                          <w:szCs w:val="24"/>
                        </w:rPr>
                        <w:t>College Faculty President</w:t>
                      </w:r>
                    </w:p>
                    <w:p w14:paraId="6F1BA274" w14:textId="423D2B7F" w:rsidR="0080748F" w:rsidRDefault="0080748F"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v:textbox>
                <w10:anchorlock/>
              </v:shape>
            </w:pict>
          </mc:Fallback>
        </mc:AlternateContent>
      </w:r>
    </w:p>
    <w:p w14:paraId="6C86F8B6" w14:textId="77777777" w:rsidR="00124B87" w:rsidRDefault="00124B87" w:rsidP="00124B87">
      <w:pPr>
        <w:pStyle w:val="Heading2"/>
        <w:ind w:left="180"/>
        <w:rPr>
          <w:sz w:val="24"/>
          <w:szCs w:val="24"/>
        </w:rPr>
      </w:pPr>
    </w:p>
    <w:p w14:paraId="70D9D4A8" w14:textId="50C97FBD" w:rsidR="005A2B1A" w:rsidRPr="00D30718" w:rsidRDefault="005A2B1A" w:rsidP="00124B87">
      <w:pPr>
        <w:pStyle w:val="Heading2"/>
        <w:ind w:left="180"/>
        <w:rPr>
          <w:rFonts w:ascii="Arial Narrow" w:hAnsi="Arial Narrow"/>
          <w:sz w:val="24"/>
          <w:szCs w:val="24"/>
        </w:rPr>
      </w:pPr>
      <w:r w:rsidRPr="00D30718">
        <w:rPr>
          <w:rFonts w:ascii="Arial Narrow" w:hAnsi="Arial Narrow"/>
          <w:sz w:val="24"/>
          <w:szCs w:val="24"/>
        </w:rPr>
        <w:t>Related Policy:</w:t>
      </w:r>
    </w:p>
    <w:p w14:paraId="76B70521" w14:textId="77777777" w:rsidR="005A2B1A" w:rsidRPr="00D30718" w:rsidRDefault="005A2B1A" w:rsidP="005A2B1A">
      <w:pPr>
        <w:pStyle w:val="Heading1"/>
        <w:shd w:val="clear" w:color="auto" w:fill="FFFFFF"/>
        <w:ind w:left="180"/>
        <w:rPr>
          <w:rFonts w:ascii="Arial Narrow" w:eastAsia="Times New Roman" w:hAnsi="Arial Narrow" w:cs="Helvetica"/>
          <w:color w:val="333333"/>
          <w:sz w:val="24"/>
          <w:szCs w:val="24"/>
        </w:rPr>
      </w:pPr>
      <w:r w:rsidRPr="00D30718">
        <w:rPr>
          <w:rFonts w:ascii="Arial Narrow" w:hAnsi="Arial Narrow"/>
          <w:sz w:val="24"/>
          <w:szCs w:val="24"/>
        </w:rPr>
        <w:t>PS-01 Programs Involving Children</w:t>
      </w:r>
    </w:p>
    <w:p w14:paraId="5D364D8D" w14:textId="341D47BB" w:rsidR="005A2B1A" w:rsidRPr="00D30718" w:rsidRDefault="005A2B1A" w:rsidP="00124B87">
      <w:pPr>
        <w:pStyle w:val="Heading2"/>
        <w:ind w:left="180"/>
        <w:rPr>
          <w:rFonts w:ascii="Arial Narrow" w:hAnsi="Arial Narrow"/>
          <w:sz w:val="24"/>
          <w:szCs w:val="24"/>
        </w:rPr>
      </w:pPr>
    </w:p>
    <w:p w14:paraId="7BC0AC30" w14:textId="37A5DB46" w:rsidR="008B4995" w:rsidRPr="00D30718" w:rsidRDefault="008B4995" w:rsidP="00124B87">
      <w:pPr>
        <w:pStyle w:val="Heading2"/>
        <w:ind w:left="180"/>
        <w:rPr>
          <w:rFonts w:ascii="Arial Narrow" w:hAnsi="Arial Narrow"/>
          <w:sz w:val="24"/>
          <w:szCs w:val="24"/>
        </w:rPr>
      </w:pPr>
      <w:r w:rsidRPr="00D30718">
        <w:rPr>
          <w:rFonts w:ascii="Arial Narrow" w:hAnsi="Arial Narrow"/>
          <w:sz w:val="24"/>
          <w:szCs w:val="24"/>
        </w:rPr>
        <w:t>Policy Statement</w:t>
      </w:r>
      <w:r w:rsidR="009F2A0C" w:rsidRPr="00D30718">
        <w:rPr>
          <w:rFonts w:ascii="Arial Narrow" w:hAnsi="Arial Narrow"/>
          <w:sz w:val="24"/>
          <w:szCs w:val="24"/>
        </w:rPr>
        <w:t>:</w:t>
      </w:r>
    </w:p>
    <w:p w14:paraId="24B18D44" w14:textId="3E8AC842" w:rsidR="005A2B1A" w:rsidRPr="00D30718" w:rsidRDefault="2A12CC79" w:rsidP="005A2B1A">
      <w:pPr>
        <w:ind w:left="180"/>
        <w:rPr>
          <w:rFonts w:ascii="Arial Narrow" w:eastAsia="Times New Roman" w:hAnsi="Arial Narrow"/>
          <w:sz w:val="24"/>
          <w:szCs w:val="24"/>
        </w:rPr>
      </w:pPr>
      <w:r w:rsidRPr="0E0FF982">
        <w:rPr>
          <w:rFonts w:ascii="Arial Narrow" w:eastAsia="Times New Roman" w:hAnsi="Arial Narrow"/>
          <w:sz w:val="24"/>
          <w:szCs w:val="24"/>
        </w:rPr>
        <w:t xml:space="preserve">This policy is for all students who participate in an education opportunity where a criminal background check is required. </w:t>
      </w:r>
    </w:p>
    <w:p w14:paraId="2CB343DC" w14:textId="77777777" w:rsidR="008B4995" w:rsidRPr="00D30718" w:rsidRDefault="008B4995" w:rsidP="005A2B1A">
      <w:pPr>
        <w:ind w:left="180"/>
        <w:rPr>
          <w:rFonts w:ascii="Arial Narrow" w:hAnsi="Arial Narrow"/>
          <w:sz w:val="24"/>
          <w:szCs w:val="24"/>
        </w:rPr>
      </w:pPr>
    </w:p>
    <w:p w14:paraId="402676F1" w14:textId="643326EA" w:rsidR="005A2B1A" w:rsidRPr="00D30718" w:rsidRDefault="005A2B1A" w:rsidP="005A2B1A">
      <w:pPr>
        <w:pStyle w:val="Heading2"/>
        <w:ind w:left="180"/>
        <w:rPr>
          <w:rFonts w:ascii="Arial Narrow" w:hAnsi="Arial Narrow"/>
          <w:sz w:val="24"/>
          <w:szCs w:val="24"/>
        </w:rPr>
      </w:pPr>
      <w:r w:rsidRPr="00D30718">
        <w:rPr>
          <w:rFonts w:ascii="Arial Narrow" w:hAnsi="Arial Narrow"/>
          <w:sz w:val="24"/>
          <w:szCs w:val="24"/>
        </w:rPr>
        <w:t>Reason for Policy:</w:t>
      </w:r>
    </w:p>
    <w:p w14:paraId="73869FC7" w14:textId="45B65F87" w:rsidR="005A2B1A" w:rsidRPr="00D30718" w:rsidRDefault="005A2B1A" w:rsidP="005A2B1A">
      <w:pPr>
        <w:ind w:left="180"/>
        <w:rPr>
          <w:rFonts w:ascii="Arial Narrow" w:eastAsia="Times New Roman" w:hAnsi="Arial Narrow"/>
          <w:sz w:val="24"/>
          <w:szCs w:val="24"/>
        </w:rPr>
      </w:pPr>
      <w:r w:rsidRPr="00D30718">
        <w:rPr>
          <w:rFonts w:ascii="Arial Narrow" w:eastAsia="Times New Roman" w:hAnsi="Arial Narrow"/>
          <w:sz w:val="24"/>
          <w:szCs w:val="24"/>
        </w:rPr>
        <w:t xml:space="preserve">A past criminal history may become a significant barrier to service learning placements, clinical practicum rotation placements, or have a negative impact on a graduate’s ability to sit for a registry or certification examination or obtain a license to practice. While a conviction of a crime does not automatically disqualify a student from participation in the educational experience, a criminal history may be grounds for denying progression depending on the facts and circumstances surrounding each individual case. </w:t>
      </w:r>
    </w:p>
    <w:p w14:paraId="0EAC8311" w14:textId="77777777" w:rsidR="005A2B1A" w:rsidRPr="00D30718" w:rsidRDefault="005A2B1A" w:rsidP="005A2B1A">
      <w:pPr>
        <w:ind w:left="180"/>
        <w:rPr>
          <w:rFonts w:ascii="Arial Narrow" w:eastAsia="Times New Roman" w:hAnsi="Arial Narrow"/>
          <w:sz w:val="24"/>
          <w:szCs w:val="24"/>
        </w:rPr>
      </w:pPr>
    </w:p>
    <w:p w14:paraId="574A704F" w14:textId="007B908B" w:rsidR="00847AFB" w:rsidRPr="00D30718" w:rsidRDefault="005A2B1A" w:rsidP="005A2B1A">
      <w:pPr>
        <w:ind w:left="180"/>
        <w:rPr>
          <w:rFonts w:ascii="Arial Narrow" w:hAnsi="Arial Narrow" w:cs="Helvetica"/>
          <w:sz w:val="24"/>
          <w:szCs w:val="24"/>
          <w:shd w:val="clear" w:color="auto" w:fill="FFFFFF"/>
        </w:rPr>
      </w:pPr>
      <w:r w:rsidRPr="00D30718">
        <w:rPr>
          <w:rFonts w:ascii="Arial Narrow" w:eastAsia="Times New Roman" w:hAnsi="Arial Narrow"/>
          <w:sz w:val="24"/>
          <w:szCs w:val="24"/>
        </w:rPr>
        <w:t xml:space="preserve">Affiliates of Indiana University agree that the background check that is conducted by the University </w:t>
      </w:r>
      <w:r w:rsidR="00847AFB" w:rsidRPr="00D30718">
        <w:rPr>
          <w:rFonts w:ascii="Arial Narrow" w:eastAsia="Times New Roman" w:hAnsi="Arial Narrow"/>
          <w:sz w:val="24"/>
          <w:szCs w:val="24"/>
        </w:rPr>
        <w:t>for compliance</w:t>
      </w:r>
      <w:r w:rsidR="007F4719" w:rsidRPr="00D30718">
        <w:rPr>
          <w:rFonts w:ascii="Arial Narrow" w:eastAsia="Times New Roman" w:hAnsi="Arial Narrow"/>
          <w:sz w:val="24"/>
          <w:szCs w:val="24"/>
        </w:rPr>
        <w:t xml:space="preserve"> with Policy PS-01</w:t>
      </w:r>
      <w:r w:rsidR="00847AFB" w:rsidRPr="00D30718">
        <w:rPr>
          <w:rFonts w:ascii="Arial Narrow" w:eastAsia="Times New Roman" w:hAnsi="Arial Narrow"/>
          <w:sz w:val="24"/>
          <w:szCs w:val="24"/>
        </w:rPr>
        <w:t xml:space="preserve"> </w:t>
      </w:r>
      <w:r w:rsidRPr="00D30718">
        <w:rPr>
          <w:rFonts w:ascii="Arial Narrow" w:eastAsia="Times New Roman" w:hAnsi="Arial Narrow"/>
          <w:sz w:val="24"/>
          <w:szCs w:val="24"/>
        </w:rPr>
        <w:t>is sufficient unless</w:t>
      </w:r>
      <w:r w:rsidR="007F4719" w:rsidRPr="00D30718">
        <w:rPr>
          <w:rFonts w:ascii="Arial Narrow" w:eastAsia="Times New Roman" w:hAnsi="Arial Narrow"/>
          <w:sz w:val="24"/>
          <w:szCs w:val="24"/>
        </w:rPr>
        <w:t xml:space="preserve"> it is </w:t>
      </w:r>
      <w:r w:rsidRPr="00D30718">
        <w:rPr>
          <w:rFonts w:ascii="Arial Narrow" w:eastAsia="Times New Roman" w:hAnsi="Arial Narrow"/>
          <w:sz w:val="24"/>
          <w:szCs w:val="24"/>
        </w:rPr>
        <w:t xml:space="preserve">specifically stated </w:t>
      </w:r>
      <w:r w:rsidR="007F4719" w:rsidRPr="00D30718">
        <w:rPr>
          <w:rFonts w:ascii="Arial Narrow" w:eastAsia="Times New Roman" w:hAnsi="Arial Narrow"/>
          <w:sz w:val="24"/>
          <w:szCs w:val="24"/>
        </w:rPr>
        <w:t xml:space="preserve">otherwise </w:t>
      </w:r>
      <w:r w:rsidRPr="00D30718">
        <w:rPr>
          <w:rFonts w:ascii="Arial Narrow" w:eastAsia="Times New Roman" w:hAnsi="Arial Narrow"/>
          <w:sz w:val="24"/>
          <w:szCs w:val="24"/>
        </w:rPr>
        <w:t xml:space="preserve">in the affiliation agreement. Policy PS-01 states that students are </w:t>
      </w:r>
      <w:r w:rsidRPr="00D30718">
        <w:rPr>
          <w:rFonts w:ascii="Arial Narrow" w:hAnsi="Arial Narrow" w:cs="Helvetica"/>
          <w:sz w:val="24"/>
          <w:szCs w:val="24"/>
          <w:shd w:val="clear" w:color="auto" w:fill="FFFFFF"/>
        </w:rPr>
        <w:t xml:space="preserve">subject to a criminal background check, which includes a sex offender registry check, within the last five years. The background check and sex offender registry checks must be repeated at least every five years thereafter. Individual programs or units may require more frequent updates. </w:t>
      </w:r>
    </w:p>
    <w:p w14:paraId="2E88DB35" w14:textId="77777777" w:rsidR="00847AFB" w:rsidRPr="00D30718" w:rsidRDefault="00847AFB" w:rsidP="005A2B1A">
      <w:pPr>
        <w:ind w:left="180"/>
        <w:rPr>
          <w:rFonts w:ascii="Arial Narrow" w:hAnsi="Arial Narrow" w:cs="Helvetica"/>
          <w:sz w:val="24"/>
          <w:szCs w:val="24"/>
          <w:shd w:val="clear" w:color="auto" w:fill="FFFFFF"/>
        </w:rPr>
      </w:pPr>
    </w:p>
    <w:p w14:paraId="0B2CDAB4" w14:textId="184FE39E" w:rsidR="005A2B1A" w:rsidRPr="00D30718" w:rsidRDefault="005A2B1A" w:rsidP="005A2B1A">
      <w:pPr>
        <w:ind w:left="180"/>
        <w:rPr>
          <w:rFonts w:ascii="Arial Narrow" w:eastAsia="Times New Roman" w:hAnsi="Arial Narrow"/>
          <w:sz w:val="24"/>
          <w:szCs w:val="24"/>
        </w:rPr>
      </w:pPr>
      <w:r w:rsidRPr="00D30718">
        <w:rPr>
          <w:rFonts w:ascii="Arial Narrow" w:hAnsi="Arial Narrow" w:cs="Helvetica"/>
          <w:sz w:val="24"/>
          <w:szCs w:val="24"/>
          <w:shd w:val="clear" w:color="auto" w:fill="FFFFFF"/>
        </w:rPr>
        <w:t xml:space="preserve">The college </w:t>
      </w:r>
      <w:r w:rsidRPr="00D30718">
        <w:rPr>
          <w:rFonts w:ascii="Arial Narrow" w:eastAsia="Times New Roman" w:hAnsi="Arial Narrow"/>
          <w:sz w:val="24"/>
          <w:szCs w:val="24"/>
        </w:rPr>
        <w:t xml:space="preserve">Requirement to Disclose form must be completed and submitted annually if the student is continuing in </w:t>
      </w:r>
      <w:r w:rsidR="00847AFB" w:rsidRPr="00D30718">
        <w:rPr>
          <w:rFonts w:ascii="Arial Narrow" w:eastAsia="Times New Roman" w:hAnsi="Arial Narrow"/>
          <w:sz w:val="24"/>
          <w:szCs w:val="24"/>
        </w:rPr>
        <w:t xml:space="preserve">a </w:t>
      </w:r>
      <w:r w:rsidR="00AF3E89" w:rsidRPr="00D30718">
        <w:rPr>
          <w:rFonts w:ascii="Arial Narrow" w:hAnsi="Arial Narrow"/>
          <w:sz w:val="24"/>
          <w:szCs w:val="24"/>
        </w:rPr>
        <w:t>course-related service or clinical practicum requirement</w:t>
      </w:r>
      <w:r w:rsidRPr="00D30718">
        <w:rPr>
          <w:rFonts w:ascii="Arial Narrow" w:eastAsia="Times New Roman" w:hAnsi="Arial Narrow"/>
          <w:sz w:val="24"/>
          <w:szCs w:val="24"/>
        </w:rPr>
        <w:t xml:space="preserve"> </w:t>
      </w:r>
      <w:r w:rsidR="00847AFB" w:rsidRPr="00D30718">
        <w:rPr>
          <w:rFonts w:ascii="Arial Narrow" w:eastAsia="Times New Roman" w:hAnsi="Arial Narrow"/>
          <w:sz w:val="24"/>
          <w:szCs w:val="24"/>
        </w:rPr>
        <w:t xml:space="preserve">in a subsequent </w:t>
      </w:r>
      <w:r w:rsidRPr="00D30718">
        <w:rPr>
          <w:rFonts w:ascii="Arial Narrow" w:eastAsia="Times New Roman" w:hAnsi="Arial Narrow"/>
          <w:sz w:val="24"/>
          <w:szCs w:val="24"/>
        </w:rPr>
        <w:t>year(s).</w:t>
      </w:r>
    </w:p>
    <w:p w14:paraId="630AA860" w14:textId="77777777" w:rsidR="0070144E" w:rsidRDefault="0070144E">
      <w:pPr>
        <w:rPr>
          <w:rFonts w:ascii="Arial Narrow" w:eastAsia="Times New Roman" w:hAnsi="Arial Narrow" w:cs="Helvetica"/>
          <w:b/>
          <w:bCs/>
          <w:color w:val="333333"/>
          <w:sz w:val="24"/>
          <w:szCs w:val="24"/>
        </w:rPr>
      </w:pPr>
    </w:p>
    <w:p w14:paraId="15D64CA3" w14:textId="0B3B925D" w:rsidR="00847AFB" w:rsidRPr="00D30718" w:rsidRDefault="0070144E">
      <w:pPr>
        <w:rPr>
          <w:rFonts w:ascii="Arial Narrow" w:eastAsia="Times New Roman" w:hAnsi="Arial Narrow" w:cs="Helvetica"/>
          <w:color w:val="333333"/>
          <w:sz w:val="24"/>
          <w:szCs w:val="24"/>
        </w:rPr>
      </w:pPr>
      <w:r w:rsidRPr="0E0FF982">
        <w:rPr>
          <w:rFonts w:ascii="Arial Narrow" w:eastAsia="Times New Roman" w:hAnsi="Arial Narrow" w:cs="Helvetica"/>
          <w:b/>
          <w:bCs/>
          <w:color w:val="333333"/>
          <w:sz w:val="24"/>
          <w:szCs w:val="24"/>
        </w:rPr>
        <w:t>*</w:t>
      </w:r>
      <w:r w:rsidR="00231F46" w:rsidRPr="0E0FF982">
        <w:rPr>
          <w:rFonts w:ascii="Arial Narrow" w:eastAsia="Times New Roman" w:hAnsi="Arial Narrow" w:cs="Helvetica"/>
          <w:b/>
          <w:bCs/>
          <w:color w:val="333333"/>
          <w:sz w:val="24"/>
          <w:szCs w:val="24"/>
        </w:rPr>
        <w:t>The s</w:t>
      </w:r>
      <w:r w:rsidRPr="0E0FF982">
        <w:rPr>
          <w:rFonts w:ascii="Arial Narrow" w:eastAsia="Times New Roman" w:hAnsi="Arial Narrow" w:cs="Helvetica"/>
          <w:b/>
          <w:bCs/>
          <w:color w:val="333333"/>
          <w:sz w:val="24"/>
          <w:szCs w:val="24"/>
        </w:rPr>
        <w:t xml:space="preserve">uccessful passing of the required Indiana University background check may not be sufficient </w:t>
      </w:r>
      <w:r w:rsidR="2CBAC8FC" w:rsidRPr="0E0FF982">
        <w:rPr>
          <w:rFonts w:ascii="Arial Narrow" w:eastAsia="Times New Roman" w:hAnsi="Arial Narrow" w:cs="Helvetica"/>
          <w:b/>
          <w:bCs/>
          <w:color w:val="333333"/>
          <w:sz w:val="24"/>
          <w:szCs w:val="24"/>
        </w:rPr>
        <w:t xml:space="preserve">to pass future background checks for </w:t>
      </w:r>
      <w:r w:rsidR="00F6272A">
        <w:rPr>
          <w:rFonts w:ascii="Arial Narrow" w:eastAsia="Times New Roman" w:hAnsi="Arial Narrow" w:cs="Helvetica"/>
          <w:b/>
          <w:bCs/>
          <w:color w:val="333333"/>
          <w:sz w:val="24"/>
          <w:szCs w:val="24"/>
        </w:rPr>
        <w:t>fut</w:t>
      </w:r>
      <w:r w:rsidRPr="0E0FF982">
        <w:rPr>
          <w:rFonts w:ascii="Arial Narrow" w:eastAsia="Times New Roman" w:hAnsi="Arial Narrow" w:cs="Helvetica"/>
          <w:b/>
          <w:bCs/>
          <w:color w:val="333333"/>
          <w:sz w:val="24"/>
          <w:szCs w:val="24"/>
        </w:rPr>
        <w:t>ure licensure, certification, or job placement.</w:t>
      </w:r>
      <w:r w:rsidRPr="0E0FF982">
        <w:rPr>
          <w:rFonts w:ascii="Arial Narrow" w:eastAsia="Times New Roman" w:hAnsi="Arial Narrow" w:cs="Helvetica"/>
          <w:b/>
          <w:bCs/>
          <w:color w:val="333333"/>
          <w:sz w:val="24"/>
          <w:szCs w:val="24"/>
        </w:rPr>
        <w:br w:type="page"/>
      </w:r>
    </w:p>
    <w:p w14:paraId="08BC12B1" w14:textId="12355837" w:rsidR="005A2B1A" w:rsidRPr="00D30718" w:rsidRDefault="005A2B1A" w:rsidP="00124B87">
      <w:pPr>
        <w:pStyle w:val="Heading2"/>
        <w:ind w:left="180"/>
        <w:rPr>
          <w:rFonts w:ascii="Arial Narrow" w:hAnsi="Arial Narrow"/>
          <w:sz w:val="24"/>
          <w:szCs w:val="24"/>
        </w:rPr>
      </w:pPr>
      <w:r w:rsidRPr="00D30718">
        <w:rPr>
          <w:rFonts w:ascii="Arial Narrow" w:hAnsi="Arial Narrow"/>
          <w:sz w:val="24"/>
          <w:szCs w:val="24"/>
        </w:rPr>
        <w:lastRenderedPageBreak/>
        <w:t>Procedure:</w:t>
      </w:r>
    </w:p>
    <w:p w14:paraId="615CE1EC" w14:textId="53B8A834" w:rsidR="009A6F0F" w:rsidRPr="00231F46" w:rsidRDefault="00F6272A" w:rsidP="0E0FF982">
      <w:pPr>
        <w:pStyle w:val="ListParagraph"/>
        <w:widowControl/>
        <w:numPr>
          <w:ilvl w:val="0"/>
          <w:numId w:val="3"/>
        </w:numPr>
        <w:autoSpaceDE/>
        <w:autoSpaceDN/>
        <w:ind w:left="540" w:right="0"/>
        <w:contextualSpacing/>
        <w:jc w:val="left"/>
        <w:rPr>
          <w:rFonts w:asciiTheme="minorHAnsi" w:eastAsiaTheme="minorEastAsia" w:hAnsiTheme="minorHAnsi" w:cstheme="minorBidi"/>
          <w:sz w:val="24"/>
          <w:szCs w:val="24"/>
        </w:rPr>
      </w:pPr>
      <w:r>
        <w:rPr>
          <w:rFonts w:ascii="Arial Narrow" w:eastAsia="Times New Roman" w:hAnsi="Arial Narrow"/>
          <w:sz w:val="24"/>
          <w:szCs w:val="24"/>
        </w:rPr>
        <w:t xml:space="preserve">Transparent discussion about the requirement for background checks will begin </w:t>
      </w:r>
      <w:r w:rsidR="009A6F0F" w:rsidRPr="0E0FF982">
        <w:rPr>
          <w:rFonts w:ascii="Arial Narrow" w:eastAsia="Times New Roman" w:hAnsi="Arial Narrow"/>
          <w:sz w:val="24"/>
          <w:szCs w:val="24"/>
        </w:rPr>
        <w:t>with student advising during academic advising conversations.  When students are admitted to clinical programs, the requirement for a background check and an annual Requirement to Disclose form will be discussed during clinical orientation. For students in the Division of Health Sciences, students will learn of requirement for a background check during enrollment in Service Learning in Health Sciences.  Program Directors will share the potential implications of a past criminal history on</w:t>
      </w:r>
      <w:r w:rsidR="0070144E" w:rsidRPr="0E0FF982">
        <w:rPr>
          <w:rFonts w:ascii="Arial Narrow" w:eastAsia="Times New Roman" w:hAnsi="Arial Narrow"/>
          <w:sz w:val="24"/>
          <w:szCs w:val="24"/>
        </w:rPr>
        <w:t xml:space="preserve"> future</w:t>
      </w:r>
      <w:r w:rsidR="009A6F0F" w:rsidRPr="0E0FF982">
        <w:rPr>
          <w:rFonts w:ascii="Arial Narrow" w:eastAsia="Times New Roman" w:hAnsi="Arial Narrow"/>
          <w:sz w:val="24"/>
          <w:szCs w:val="24"/>
        </w:rPr>
        <w:t xml:space="preserve"> licensure, certification</w:t>
      </w:r>
      <w:r w:rsidR="0070144E" w:rsidRPr="0E0FF982">
        <w:rPr>
          <w:rFonts w:ascii="Arial Narrow" w:eastAsia="Times New Roman" w:hAnsi="Arial Narrow"/>
          <w:sz w:val="24"/>
          <w:szCs w:val="24"/>
        </w:rPr>
        <w:t xml:space="preserve">, and job placement.  </w:t>
      </w:r>
      <w:r w:rsidR="70D8DB94" w:rsidRPr="0E0FF982">
        <w:rPr>
          <w:rFonts w:ascii="Arial Narrow" w:eastAsia="Times New Roman" w:hAnsi="Arial Narrow"/>
          <w:sz w:val="24"/>
          <w:szCs w:val="24"/>
        </w:rPr>
        <w:t>Students should be aware that the backgrou</w:t>
      </w:r>
      <w:r w:rsidR="487E7EBC" w:rsidRPr="0E0FF982">
        <w:rPr>
          <w:rFonts w:ascii="Arial Narrow" w:eastAsia="Times New Roman" w:hAnsi="Arial Narrow"/>
          <w:sz w:val="24"/>
          <w:szCs w:val="24"/>
        </w:rPr>
        <w:t>n</w:t>
      </w:r>
      <w:r w:rsidR="70D8DB94" w:rsidRPr="0E0FF982">
        <w:rPr>
          <w:rFonts w:ascii="Arial Narrow" w:eastAsia="Times New Roman" w:hAnsi="Arial Narrow"/>
          <w:sz w:val="24"/>
          <w:szCs w:val="24"/>
        </w:rPr>
        <w:t>d check and/or program admission at this time does not guarantee eligibility to sit for future licensure or certification.  At the time</w:t>
      </w:r>
      <w:r w:rsidR="77AE3AA2" w:rsidRPr="0E0FF982">
        <w:rPr>
          <w:rFonts w:ascii="Arial Narrow" w:eastAsia="Times New Roman" w:hAnsi="Arial Narrow"/>
          <w:sz w:val="24"/>
          <w:szCs w:val="24"/>
        </w:rPr>
        <w:t xml:space="preserve"> of future licensure or certification, a separate background check would be completed by the certifying agency.  </w:t>
      </w:r>
    </w:p>
    <w:p w14:paraId="76BE9BE8" w14:textId="77777777" w:rsidR="00231F46" w:rsidRDefault="00231F46" w:rsidP="00231F46">
      <w:pPr>
        <w:pStyle w:val="ListParagraph"/>
        <w:widowControl/>
        <w:autoSpaceDE/>
        <w:autoSpaceDN/>
        <w:ind w:left="540" w:right="0" w:firstLine="0"/>
        <w:contextualSpacing/>
        <w:jc w:val="left"/>
        <w:rPr>
          <w:rFonts w:asciiTheme="minorHAnsi" w:eastAsiaTheme="minorEastAsia" w:hAnsiTheme="minorHAnsi" w:cstheme="minorBidi"/>
          <w:sz w:val="24"/>
          <w:szCs w:val="24"/>
        </w:rPr>
      </w:pPr>
    </w:p>
    <w:p w14:paraId="381E9BD7" w14:textId="3FEADC52" w:rsidR="0099732B" w:rsidRPr="00F6272A" w:rsidRDefault="004F7F61" w:rsidP="00F6272A">
      <w:pPr>
        <w:pStyle w:val="ListParagraph"/>
        <w:numPr>
          <w:ilvl w:val="0"/>
          <w:numId w:val="3"/>
        </w:numPr>
        <w:ind w:left="540"/>
        <w:rPr>
          <w:rFonts w:ascii="Arial Narrow" w:eastAsia="Times New Roman" w:hAnsi="Arial Narrow"/>
          <w:sz w:val="24"/>
          <w:szCs w:val="24"/>
        </w:rPr>
      </w:pPr>
      <w:r w:rsidRPr="00F6272A">
        <w:rPr>
          <w:rFonts w:ascii="Arial Narrow" w:eastAsia="Times New Roman" w:hAnsi="Arial Narrow"/>
          <w:sz w:val="24"/>
          <w:szCs w:val="24"/>
        </w:rPr>
        <w:t>Students</w:t>
      </w:r>
      <w:r w:rsidR="0099732B" w:rsidRPr="00F6272A">
        <w:rPr>
          <w:rFonts w:ascii="Arial Narrow" w:eastAsia="Times New Roman" w:hAnsi="Arial Narrow"/>
          <w:sz w:val="24"/>
          <w:szCs w:val="24"/>
        </w:rPr>
        <w:t xml:space="preserve"> must register and submit a criminal background history check with the approved IU vendor upon acceptance to any clinical program</w:t>
      </w:r>
      <w:r w:rsidR="00847AFB" w:rsidRPr="00F6272A">
        <w:rPr>
          <w:rFonts w:ascii="Arial Narrow" w:eastAsia="Times New Roman" w:hAnsi="Arial Narrow"/>
          <w:sz w:val="24"/>
          <w:szCs w:val="24"/>
        </w:rPr>
        <w:t xml:space="preserve"> or </w:t>
      </w:r>
      <w:r w:rsidR="0099732B" w:rsidRPr="00F6272A">
        <w:rPr>
          <w:rFonts w:ascii="Arial Narrow" w:eastAsia="Times New Roman" w:hAnsi="Arial Narrow"/>
          <w:sz w:val="24"/>
          <w:szCs w:val="24"/>
        </w:rPr>
        <w:t xml:space="preserve">enrollment in a course that </w:t>
      </w:r>
      <w:r w:rsidR="00AF3E89" w:rsidRPr="00F6272A">
        <w:rPr>
          <w:rFonts w:ascii="Arial Narrow" w:eastAsia="Times New Roman" w:hAnsi="Arial Narrow"/>
          <w:sz w:val="24"/>
          <w:szCs w:val="24"/>
        </w:rPr>
        <w:t xml:space="preserve">includes a placement at an affiliate agency in which it is required.  </w:t>
      </w:r>
      <w:r w:rsidR="0099732B" w:rsidRPr="00F6272A">
        <w:rPr>
          <w:rFonts w:ascii="Arial Narrow" w:eastAsia="Times New Roman" w:hAnsi="Arial Narrow"/>
          <w:sz w:val="24"/>
          <w:szCs w:val="24"/>
        </w:rPr>
        <w:t>Students must submit checks for any county that they have lived in for the last seven (7) years and additional charges may apply for extra counties.</w:t>
      </w:r>
      <w:r w:rsidR="0CBC050A" w:rsidRPr="00F6272A">
        <w:rPr>
          <w:rFonts w:ascii="Arial Narrow" w:eastAsia="Times New Roman" w:hAnsi="Arial Narrow"/>
          <w:sz w:val="24"/>
          <w:szCs w:val="24"/>
        </w:rPr>
        <w:t xml:space="preserve">  </w:t>
      </w:r>
      <w:r w:rsidR="6C0E77A2" w:rsidRPr="00F6272A">
        <w:rPr>
          <w:rFonts w:ascii="Arial Narrow" w:eastAsia="Times New Roman" w:hAnsi="Arial Narrow"/>
          <w:sz w:val="24"/>
          <w:szCs w:val="24"/>
        </w:rPr>
        <w:t>Background checks will be completed at the student’s expense.</w:t>
      </w:r>
    </w:p>
    <w:p w14:paraId="4539B73D" w14:textId="77777777" w:rsidR="00F6272A" w:rsidRPr="00F6272A" w:rsidRDefault="00F6272A" w:rsidP="00F6272A">
      <w:pPr>
        <w:pStyle w:val="ListParagraph"/>
        <w:rPr>
          <w:rFonts w:ascii="Arial Narrow" w:eastAsia="Times New Roman" w:hAnsi="Arial Narrow"/>
          <w:sz w:val="24"/>
          <w:szCs w:val="24"/>
        </w:rPr>
      </w:pPr>
    </w:p>
    <w:p w14:paraId="2486E284" w14:textId="77777777" w:rsidR="004F7F61" w:rsidRPr="00D30718" w:rsidRDefault="0099732B" w:rsidP="00AF3E89">
      <w:pPr>
        <w:pStyle w:val="ListParagraph"/>
        <w:widowControl/>
        <w:numPr>
          <w:ilvl w:val="0"/>
          <w:numId w:val="3"/>
        </w:numPr>
        <w:autoSpaceDE/>
        <w:autoSpaceDN/>
        <w:ind w:left="540" w:right="0"/>
        <w:contextualSpacing/>
        <w:jc w:val="left"/>
        <w:rPr>
          <w:rFonts w:ascii="Arial Narrow" w:eastAsia="Times New Roman" w:hAnsi="Arial Narrow"/>
          <w:sz w:val="24"/>
          <w:szCs w:val="24"/>
        </w:rPr>
      </w:pPr>
      <w:r w:rsidRPr="0E0FF982">
        <w:rPr>
          <w:rFonts w:ascii="Arial Narrow" w:eastAsia="Times New Roman" w:hAnsi="Arial Narrow"/>
          <w:sz w:val="24"/>
          <w:szCs w:val="24"/>
        </w:rPr>
        <w:t xml:space="preserve">Students will be asked to complete an annual Requirement to Disclose form as defined above. It is the student’s responsibility to </w:t>
      </w:r>
      <w:r w:rsidR="004F7F61" w:rsidRPr="0E0FF982">
        <w:rPr>
          <w:rFonts w:ascii="Arial Narrow" w:eastAsia="Times New Roman" w:hAnsi="Arial Narrow"/>
          <w:sz w:val="24"/>
          <w:szCs w:val="24"/>
        </w:rPr>
        <w:t xml:space="preserve">notify the Assistant Dean for Student Success and Operations within seven (7) business days of any changes in their status or </w:t>
      </w:r>
      <w:r w:rsidRPr="0E0FF982">
        <w:rPr>
          <w:rFonts w:ascii="Arial Narrow" w:eastAsia="Times New Roman" w:hAnsi="Arial Narrow"/>
          <w:sz w:val="24"/>
          <w:szCs w:val="24"/>
        </w:rPr>
        <w:t>changes in criminal history that occur after the initial criminal background check has been completed. Failure to do so may result in immediate dismissal from the program</w:t>
      </w:r>
      <w:r w:rsidR="004F7F61" w:rsidRPr="0E0FF982">
        <w:rPr>
          <w:rFonts w:ascii="Arial Narrow" w:eastAsia="Times New Roman" w:hAnsi="Arial Narrow"/>
          <w:sz w:val="24"/>
          <w:szCs w:val="24"/>
        </w:rPr>
        <w:t xml:space="preserve"> or receive a course failure.  </w:t>
      </w:r>
    </w:p>
    <w:p w14:paraId="65ACB067" w14:textId="77777777" w:rsidR="004F7F61" w:rsidRPr="00D30718" w:rsidRDefault="004F7F61" w:rsidP="004F7F61">
      <w:pPr>
        <w:pStyle w:val="ListParagraph"/>
        <w:rPr>
          <w:rFonts w:ascii="Arial Narrow" w:eastAsia="Times New Roman" w:hAnsi="Arial Narrow"/>
          <w:sz w:val="24"/>
          <w:szCs w:val="24"/>
        </w:rPr>
      </w:pPr>
    </w:p>
    <w:p w14:paraId="6AB5A010" w14:textId="4D648E29" w:rsidR="1C879ADD" w:rsidRDefault="1C879ADD" w:rsidP="0E0FF982">
      <w:pPr>
        <w:pStyle w:val="ListParagraph"/>
        <w:numPr>
          <w:ilvl w:val="0"/>
          <w:numId w:val="3"/>
        </w:numPr>
        <w:ind w:left="540" w:right="0"/>
        <w:jc w:val="left"/>
        <w:rPr>
          <w:rFonts w:ascii="Arial Narrow" w:eastAsia="Times New Roman" w:hAnsi="Arial Narrow"/>
          <w:sz w:val="24"/>
          <w:szCs w:val="24"/>
        </w:rPr>
      </w:pPr>
      <w:r w:rsidRPr="0E0FF982">
        <w:rPr>
          <w:rFonts w:ascii="Arial Narrow" w:eastAsia="Times New Roman" w:hAnsi="Arial Narrow"/>
          <w:sz w:val="24"/>
          <w:szCs w:val="24"/>
        </w:rPr>
        <w:t>Students may be asked to provide a more current background check at any point in the program, based on an affiliate’s request to meet their regulatory requirements or their background check is older than 5 years.</w:t>
      </w:r>
    </w:p>
    <w:p w14:paraId="3A3B8534" w14:textId="1B77AD76" w:rsidR="0E0FF982" w:rsidRDefault="0E0FF982" w:rsidP="0E0FF982">
      <w:pPr>
        <w:pStyle w:val="ListParagraph"/>
        <w:rPr>
          <w:rFonts w:ascii="Arial Narrow" w:eastAsia="Times New Roman" w:hAnsi="Arial Narrow"/>
          <w:sz w:val="24"/>
          <w:szCs w:val="24"/>
        </w:rPr>
      </w:pPr>
    </w:p>
    <w:p w14:paraId="44D15868" w14:textId="6967369C" w:rsidR="0099732B" w:rsidRPr="00F6272A" w:rsidRDefault="0099732B" w:rsidP="0099732B">
      <w:pPr>
        <w:pStyle w:val="ListParagraph"/>
        <w:widowControl/>
        <w:numPr>
          <w:ilvl w:val="0"/>
          <w:numId w:val="3"/>
        </w:numPr>
        <w:autoSpaceDE/>
        <w:autoSpaceDN/>
        <w:ind w:left="540" w:right="0"/>
        <w:contextualSpacing/>
        <w:jc w:val="left"/>
        <w:rPr>
          <w:rFonts w:ascii="Arial Narrow" w:eastAsia="Times New Roman" w:hAnsi="Arial Narrow"/>
          <w:sz w:val="24"/>
          <w:szCs w:val="24"/>
        </w:rPr>
      </w:pPr>
      <w:r w:rsidRPr="0E0FF982">
        <w:rPr>
          <w:rFonts w:ascii="Arial Narrow" w:eastAsia="Times New Roman" w:hAnsi="Arial Narrow"/>
          <w:sz w:val="24"/>
          <w:szCs w:val="24"/>
        </w:rPr>
        <w:t xml:space="preserve">If a student discloses any information regarding a criminal history or if the background check indicates that the student is not compliant with Indiana University policy, the Assistant Dean for Student </w:t>
      </w:r>
      <w:r w:rsidRPr="00F6272A">
        <w:rPr>
          <w:rFonts w:ascii="Arial Narrow" w:eastAsia="Times New Roman" w:hAnsi="Arial Narrow"/>
          <w:sz w:val="24"/>
          <w:szCs w:val="24"/>
        </w:rPr>
        <w:t>Success and Operations will investigate the information</w:t>
      </w:r>
      <w:r w:rsidR="00231F46" w:rsidRPr="00F6272A">
        <w:rPr>
          <w:rFonts w:ascii="Arial Narrow" w:eastAsia="Times New Roman" w:hAnsi="Arial Narrow"/>
          <w:sz w:val="24"/>
          <w:szCs w:val="24"/>
        </w:rPr>
        <w:t xml:space="preserve"> and communicat</w:t>
      </w:r>
      <w:r w:rsidR="00D8041C" w:rsidRPr="00F6272A">
        <w:rPr>
          <w:rFonts w:ascii="Arial Narrow" w:eastAsia="Times New Roman" w:hAnsi="Arial Narrow"/>
          <w:sz w:val="24"/>
          <w:szCs w:val="24"/>
        </w:rPr>
        <w:t>e</w:t>
      </w:r>
      <w:r w:rsidR="00231F46" w:rsidRPr="00F6272A">
        <w:rPr>
          <w:rFonts w:ascii="Arial Narrow" w:eastAsia="Times New Roman" w:hAnsi="Arial Narrow"/>
          <w:sz w:val="24"/>
          <w:szCs w:val="24"/>
        </w:rPr>
        <w:t xml:space="preserve"> with the Pro</w:t>
      </w:r>
      <w:r w:rsidR="00D8041C" w:rsidRPr="00F6272A">
        <w:rPr>
          <w:rFonts w:ascii="Arial Narrow" w:eastAsia="Times New Roman" w:hAnsi="Arial Narrow"/>
          <w:sz w:val="24"/>
          <w:szCs w:val="24"/>
        </w:rPr>
        <w:t>gram Director</w:t>
      </w:r>
      <w:r w:rsidR="611D1D6A" w:rsidRPr="00F6272A">
        <w:rPr>
          <w:rFonts w:ascii="Arial Narrow" w:eastAsia="Times New Roman" w:hAnsi="Arial Narrow"/>
          <w:sz w:val="24"/>
          <w:szCs w:val="24"/>
        </w:rPr>
        <w:t xml:space="preserve"> and the Academic Assistant Dean</w:t>
      </w:r>
      <w:r w:rsidR="00D8041C" w:rsidRPr="00F6272A">
        <w:rPr>
          <w:rFonts w:ascii="Arial Narrow" w:eastAsia="Times New Roman" w:hAnsi="Arial Narrow"/>
          <w:sz w:val="24"/>
          <w:szCs w:val="24"/>
        </w:rPr>
        <w:t>.</w:t>
      </w:r>
      <w:r w:rsidRPr="00F6272A">
        <w:rPr>
          <w:rFonts w:ascii="Arial Narrow" w:eastAsia="Times New Roman" w:hAnsi="Arial Narrow"/>
          <w:sz w:val="24"/>
          <w:szCs w:val="24"/>
        </w:rPr>
        <w:t xml:space="preserve"> </w:t>
      </w:r>
    </w:p>
    <w:p w14:paraId="3879122A" w14:textId="77777777" w:rsidR="00D8041C" w:rsidRPr="00F6272A" w:rsidRDefault="00D8041C" w:rsidP="00D8041C">
      <w:pPr>
        <w:pStyle w:val="ListParagraph"/>
        <w:rPr>
          <w:rFonts w:ascii="Arial Narrow" w:eastAsia="Times New Roman" w:hAnsi="Arial Narrow"/>
          <w:sz w:val="24"/>
          <w:szCs w:val="24"/>
        </w:rPr>
      </w:pPr>
    </w:p>
    <w:p w14:paraId="54B368E4" w14:textId="2C81EE2D" w:rsidR="1FC2029C" w:rsidRPr="00F6272A" w:rsidRDefault="1FC2029C" w:rsidP="0E0FF982">
      <w:pPr>
        <w:pStyle w:val="ListParagraph"/>
        <w:numPr>
          <w:ilvl w:val="0"/>
          <w:numId w:val="3"/>
        </w:numPr>
        <w:ind w:left="540" w:right="0"/>
        <w:jc w:val="left"/>
        <w:rPr>
          <w:rFonts w:ascii="Arial Narrow" w:eastAsiaTheme="minorEastAsia" w:hAnsi="Arial Narrow" w:cstheme="minorBidi"/>
          <w:sz w:val="24"/>
          <w:szCs w:val="24"/>
        </w:rPr>
      </w:pPr>
      <w:r w:rsidRPr="00F6272A">
        <w:rPr>
          <w:rFonts w:ascii="Arial Narrow" w:hAnsi="Arial Narrow"/>
          <w:sz w:val="24"/>
          <w:szCs w:val="24"/>
        </w:rPr>
        <w:t>If a student discloses any information regarding a criminal history or if the background check indicates that the student is not compliant with Indiana University policy, the Assistant Dean for Student Success and Operations will consult with the Academic Assistant Dean and the Program Director to determine if the student is eligible for the educational opportunity.  The outcome of that decision will be placed in the student's file.</w:t>
      </w:r>
    </w:p>
    <w:p w14:paraId="2E396FCA" w14:textId="33DE21D1" w:rsidR="0099732B" w:rsidRPr="00F6272A" w:rsidRDefault="0099732B" w:rsidP="0099732B">
      <w:pPr>
        <w:ind w:left="540" w:hanging="360"/>
        <w:rPr>
          <w:rFonts w:ascii="Arial Narrow" w:eastAsia="Times New Roman" w:hAnsi="Arial Narrow"/>
          <w:sz w:val="24"/>
          <w:szCs w:val="24"/>
        </w:rPr>
      </w:pPr>
    </w:p>
    <w:p w14:paraId="6C826256" w14:textId="6EF52488" w:rsidR="0099732B" w:rsidRPr="00D30718" w:rsidRDefault="0099732B" w:rsidP="0099732B">
      <w:pPr>
        <w:pStyle w:val="ListParagraph"/>
        <w:widowControl/>
        <w:numPr>
          <w:ilvl w:val="0"/>
          <w:numId w:val="3"/>
        </w:numPr>
        <w:autoSpaceDE/>
        <w:autoSpaceDN/>
        <w:ind w:left="540" w:right="0"/>
        <w:contextualSpacing/>
        <w:jc w:val="left"/>
        <w:rPr>
          <w:rFonts w:ascii="Arial Narrow" w:eastAsia="Times New Roman" w:hAnsi="Arial Narrow"/>
          <w:sz w:val="24"/>
          <w:szCs w:val="24"/>
        </w:rPr>
      </w:pPr>
      <w:r w:rsidRPr="0E0FF982">
        <w:rPr>
          <w:rFonts w:ascii="Arial Narrow" w:eastAsia="Times New Roman" w:hAnsi="Arial Narrow"/>
          <w:sz w:val="24"/>
          <w:szCs w:val="24"/>
        </w:rPr>
        <w:t xml:space="preserve">The School Recorder is responsible for maintaining updated documentation of criminal background histories for IU South Bend students enrolled in programs at Indiana University South Bend. </w:t>
      </w:r>
    </w:p>
    <w:p w14:paraId="610361CB" w14:textId="77777777" w:rsidR="0099732B" w:rsidRPr="00D30718" w:rsidRDefault="0099732B" w:rsidP="0099732B">
      <w:pPr>
        <w:ind w:left="540" w:hanging="360"/>
        <w:rPr>
          <w:rFonts w:ascii="Arial Narrow" w:eastAsia="Times New Roman" w:hAnsi="Arial Narrow"/>
          <w:sz w:val="24"/>
          <w:szCs w:val="24"/>
        </w:rPr>
      </w:pPr>
    </w:p>
    <w:p w14:paraId="08404D80" w14:textId="5F3BE87E" w:rsidR="004F7F61" w:rsidRPr="00D30718" w:rsidRDefault="004F7F61" w:rsidP="004F7F61">
      <w:pPr>
        <w:widowControl/>
        <w:autoSpaceDE/>
        <w:autoSpaceDN/>
        <w:ind w:left="180"/>
        <w:contextualSpacing/>
        <w:rPr>
          <w:rFonts w:ascii="Arial Narrow" w:eastAsia="Times New Roman" w:hAnsi="Arial Narrow"/>
          <w:sz w:val="24"/>
          <w:szCs w:val="24"/>
        </w:rPr>
      </w:pPr>
      <w:r w:rsidRPr="0A208FAB">
        <w:rPr>
          <w:rFonts w:ascii="Arial Narrow" w:eastAsia="Times New Roman" w:hAnsi="Arial Narrow"/>
          <w:sz w:val="24"/>
          <w:szCs w:val="24"/>
        </w:rPr>
        <w:t>If a student is found to be ineligible for placement at any time and the student will not be able to meet program/course objectives</w:t>
      </w:r>
      <w:r w:rsidR="59FE8BD3" w:rsidRPr="0A208FAB">
        <w:rPr>
          <w:rFonts w:ascii="Arial Narrow" w:eastAsia="Times New Roman" w:hAnsi="Arial Narrow"/>
          <w:sz w:val="24"/>
          <w:szCs w:val="24"/>
        </w:rPr>
        <w:t>,</w:t>
      </w:r>
      <w:r w:rsidRPr="0A208FAB">
        <w:rPr>
          <w:rFonts w:ascii="Arial Narrow" w:eastAsia="Times New Roman" w:hAnsi="Arial Narrow"/>
          <w:sz w:val="24"/>
          <w:szCs w:val="24"/>
        </w:rPr>
        <w:t xml:space="preserve"> then the student may be withdrawn from the program/course pending resolution of the issue.</w:t>
      </w:r>
    </w:p>
    <w:p w14:paraId="7409C641" w14:textId="77777777" w:rsidR="004F7F61" w:rsidRPr="00D30718" w:rsidRDefault="004F7F61" w:rsidP="004F7F61">
      <w:pPr>
        <w:widowControl/>
        <w:autoSpaceDE/>
        <w:autoSpaceDN/>
        <w:contextualSpacing/>
        <w:rPr>
          <w:rFonts w:ascii="Arial Narrow" w:eastAsia="Times New Roman" w:hAnsi="Arial Narrow"/>
          <w:sz w:val="24"/>
          <w:szCs w:val="24"/>
        </w:rPr>
      </w:pPr>
    </w:p>
    <w:p w14:paraId="09793ECE" w14:textId="77777777" w:rsidR="00F6272A" w:rsidRDefault="00F6272A" w:rsidP="00124B87">
      <w:pPr>
        <w:pStyle w:val="Heading2"/>
        <w:ind w:left="180"/>
        <w:rPr>
          <w:rFonts w:ascii="Arial Narrow" w:hAnsi="Arial Narrow"/>
          <w:sz w:val="24"/>
          <w:szCs w:val="24"/>
        </w:rPr>
      </w:pPr>
    </w:p>
    <w:p w14:paraId="3EAD87C9" w14:textId="5117648C" w:rsidR="00CA2B94" w:rsidRPr="00D30718" w:rsidRDefault="00487F37" w:rsidP="00124B87">
      <w:pPr>
        <w:pStyle w:val="Heading2"/>
        <w:ind w:left="180"/>
        <w:rPr>
          <w:rFonts w:ascii="Arial Narrow" w:hAnsi="Arial Narrow"/>
          <w:sz w:val="24"/>
          <w:szCs w:val="24"/>
        </w:rPr>
      </w:pPr>
      <w:r w:rsidRPr="00D30718">
        <w:rPr>
          <w:rFonts w:ascii="Arial Narrow" w:hAnsi="Arial Narrow"/>
          <w:sz w:val="24"/>
          <w:szCs w:val="24"/>
        </w:rPr>
        <w:t>History</w:t>
      </w:r>
      <w:r w:rsidR="009F2A0C" w:rsidRPr="00D30718">
        <w:rPr>
          <w:rFonts w:ascii="Arial Narrow" w:hAnsi="Arial Narrow"/>
          <w:sz w:val="24"/>
          <w:szCs w:val="24"/>
        </w:rPr>
        <w:t>:</w:t>
      </w:r>
    </w:p>
    <w:p w14:paraId="551BF885" w14:textId="09B4449F" w:rsidR="008B4995" w:rsidRPr="00D30718" w:rsidRDefault="008B4995" w:rsidP="00124B87">
      <w:pPr>
        <w:ind w:left="180"/>
        <w:rPr>
          <w:rFonts w:ascii="Arial Narrow" w:hAnsi="Arial Narrow"/>
          <w:color w:val="A50021"/>
          <w:sz w:val="24"/>
          <w:szCs w:val="24"/>
        </w:rPr>
      </w:pPr>
    </w:p>
    <w:p w14:paraId="212E90FF" w14:textId="2C68E0EA" w:rsidR="00396F99" w:rsidRPr="00D30718" w:rsidRDefault="00396F99" w:rsidP="0E0FF982">
      <w:pPr>
        <w:pStyle w:val="BodyText"/>
        <w:ind w:left="180"/>
        <w:rPr>
          <w:rFonts w:ascii="Arial Narrow" w:hAnsi="Arial Narrow"/>
          <w:i/>
          <w:iCs/>
          <w:sz w:val="24"/>
          <w:szCs w:val="24"/>
        </w:rPr>
      </w:pPr>
    </w:p>
    <w:p w14:paraId="52669EF3" w14:textId="4CC92F08" w:rsidR="0E0FF982" w:rsidRDefault="0E0FF982" w:rsidP="0E0FF982">
      <w:pPr>
        <w:pStyle w:val="BodyText"/>
        <w:ind w:left="180"/>
        <w:rPr>
          <w:rFonts w:ascii="Arial Narrow" w:hAnsi="Arial Narrow"/>
          <w:i/>
          <w:iCs/>
          <w:sz w:val="24"/>
          <w:szCs w:val="24"/>
        </w:rPr>
      </w:pPr>
    </w:p>
    <w:p w14:paraId="66C21469" w14:textId="35E5719A" w:rsidR="0E0FF982" w:rsidRDefault="0E0FF982" w:rsidP="0E0FF982">
      <w:pPr>
        <w:pStyle w:val="BodyText"/>
        <w:ind w:left="180"/>
        <w:rPr>
          <w:rFonts w:ascii="Arial Narrow" w:hAnsi="Arial Narrow"/>
          <w:i/>
          <w:iCs/>
          <w:sz w:val="24"/>
          <w:szCs w:val="24"/>
        </w:rPr>
      </w:pPr>
    </w:p>
    <w:p w14:paraId="0CC36A71" w14:textId="27470D4E" w:rsidR="0E0FF982" w:rsidRDefault="0E0FF982" w:rsidP="00F6272A">
      <w:pPr>
        <w:pStyle w:val="BodyText"/>
        <w:ind w:left="180"/>
        <w:rPr>
          <w:rFonts w:ascii="Arial Narrow" w:hAnsi="Arial Narrow"/>
          <w:sz w:val="24"/>
          <w:szCs w:val="24"/>
        </w:rPr>
      </w:pPr>
    </w:p>
    <w:sectPr w:rsidR="0E0FF982" w:rsidSect="00D30718">
      <w:footerReference w:type="default" r:id="rId12"/>
      <w:type w:val="continuous"/>
      <w:pgSz w:w="12240" w:h="15840"/>
      <w:pgMar w:top="460" w:right="450" w:bottom="540" w:left="42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7A5A" w14:textId="77777777" w:rsidR="00A46B34" w:rsidRDefault="00A46B34">
      <w:r>
        <w:separator/>
      </w:r>
    </w:p>
  </w:endnote>
  <w:endnote w:type="continuationSeparator" w:id="0">
    <w:p w14:paraId="0FEA4DCA" w14:textId="77777777" w:rsidR="00A46B34" w:rsidRDefault="00A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1774" w14:textId="77777777" w:rsidR="00CA2B94" w:rsidRDefault="00CA2B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8E0E7" w14:textId="77777777" w:rsidR="00A46B34" w:rsidRDefault="00A46B34">
      <w:r>
        <w:separator/>
      </w:r>
    </w:p>
  </w:footnote>
  <w:footnote w:type="continuationSeparator" w:id="0">
    <w:p w14:paraId="0E335B75" w14:textId="77777777" w:rsidR="00A46B34" w:rsidRDefault="00A4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65A1"/>
    <w:multiLevelType w:val="hybridMultilevel"/>
    <w:tmpl w:val="34E0F7DA"/>
    <w:lvl w:ilvl="0" w:tplc="2848B8DC">
      <w:start w:val="1"/>
      <w:numFmt w:val="decimal"/>
      <w:lvlText w:val="%1."/>
      <w:lvlJc w:val="left"/>
      <w:pPr>
        <w:ind w:left="560" w:hanging="294"/>
        <w:jc w:val="right"/>
      </w:pPr>
      <w:rPr>
        <w:rFonts w:ascii="Arial" w:eastAsia="Arial" w:hAnsi="Arial" w:cs="Arial" w:hint="default"/>
        <w:spacing w:val="-16"/>
        <w:w w:val="100"/>
        <w:sz w:val="22"/>
        <w:szCs w:val="22"/>
      </w:rPr>
    </w:lvl>
    <w:lvl w:ilvl="1" w:tplc="66C2A4D0">
      <w:numFmt w:val="bullet"/>
      <w:lvlText w:val="•"/>
      <w:lvlJc w:val="left"/>
      <w:pPr>
        <w:ind w:left="1644" w:hanging="294"/>
      </w:pPr>
      <w:rPr>
        <w:rFonts w:hint="default"/>
      </w:rPr>
    </w:lvl>
    <w:lvl w:ilvl="2" w:tplc="5204F32C">
      <w:numFmt w:val="bullet"/>
      <w:lvlText w:val="•"/>
      <w:lvlJc w:val="left"/>
      <w:pPr>
        <w:ind w:left="2728" w:hanging="294"/>
      </w:pPr>
      <w:rPr>
        <w:rFonts w:hint="default"/>
      </w:rPr>
    </w:lvl>
    <w:lvl w:ilvl="3" w:tplc="605C07F8">
      <w:numFmt w:val="bullet"/>
      <w:lvlText w:val="•"/>
      <w:lvlJc w:val="left"/>
      <w:pPr>
        <w:ind w:left="3812" w:hanging="294"/>
      </w:pPr>
      <w:rPr>
        <w:rFonts w:hint="default"/>
      </w:rPr>
    </w:lvl>
    <w:lvl w:ilvl="4" w:tplc="2D7422B0">
      <w:numFmt w:val="bullet"/>
      <w:lvlText w:val="•"/>
      <w:lvlJc w:val="left"/>
      <w:pPr>
        <w:ind w:left="4896" w:hanging="294"/>
      </w:pPr>
      <w:rPr>
        <w:rFonts w:hint="default"/>
      </w:rPr>
    </w:lvl>
    <w:lvl w:ilvl="5" w:tplc="39A028FA">
      <w:numFmt w:val="bullet"/>
      <w:lvlText w:val="•"/>
      <w:lvlJc w:val="left"/>
      <w:pPr>
        <w:ind w:left="5980" w:hanging="294"/>
      </w:pPr>
      <w:rPr>
        <w:rFonts w:hint="default"/>
      </w:rPr>
    </w:lvl>
    <w:lvl w:ilvl="6" w:tplc="4D0067DA">
      <w:numFmt w:val="bullet"/>
      <w:lvlText w:val="•"/>
      <w:lvlJc w:val="left"/>
      <w:pPr>
        <w:ind w:left="7064" w:hanging="294"/>
      </w:pPr>
      <w:rPr>
        <w:rFonts w:hint="default"/>
      </w:rPr>
    </w:lvl>
    <w:lvl w:ilvl="7" w:tplc="94B08866">
      <w:numFmt w:val="bullet"/>
      <w:lvlText w:val="•"/>
      <w:lvlJc w:val="left"/>
      <w:pPr>
        <w:ind w:left="8148" w:hanging="294"/>
      </w:pPr>
      <w:rPr>
        <w:rFonts w:hint="default"/>
      </w:rPr>
    </w:lvl>
    <w:lvl w:ilvl="8" w:tplc="506E1D3C">
      <w:numFmt w:val="bullet"/>
      <w:lvlText w:val="•"/>
      <w:lvlJc w:val="left"/>
      <w:pPr>
        <w:ind w:left="9232" w:hanging="294"/>
      </w:pPr>
      <w:rPr>
        <w:rFonts w:hint="default"/>
      </w:rPr>
    </w:lvl>
  </w:abstractNum>
  <w:abstractNum w:abstractNumId="1" w15:restartNumberingAfterBreak="0">
    <w:nsid w:val="3BAC73B1"/>
    <w:multiLevelType w:val="hybridMultilevel"/>
    <w:tmpl w:val="94C0F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8F779A1"/>
    <w:multiLevelType w:val="hybridMultilevel"/>
    <w:tmpl w:val="D03AEC82"/>
    <w:lvl w:ilvl="0" w:tplc="F2AA2AD4">
      <w:start w:val="1"/>
      <w:numFmt w:val="decimal"/>
      <w:lvlText w:val="%1."/>
      <w:lvlJc w:val="left"/>
      <w:pPr>
        <w:ind w:left="720" w:hanging="360"/>
      </w:pPr>
    </w:lvl>
    <w:lvl w:ilvl="1" w:tplc="5CF80BAE">
      <w:start w:val="1"/>
      <w:numFmt w:val="lowerLetter"/>
      <w:lvlText w:val="%2."/>
      <w:lvlJc w:val="left"/>
      <w:pPr>
        <w:ind w:left="1440" w:hanging="360"/>
      </w:pPr>
    </w:lvl>
    <w:lvl w:ilvl="2" w:tplc="5F76CA18">
      <w:start w:val="1"/>
      <w:numFmt w:val="lowerRoman"/>
      <w:lvlText w:val="%3."/>
      <w:lvlJc w:val="right"/>
      <w:pPr>
        <w:ind w:left="2160" w:hanging="180"/>
      </w:pPr>
    </w:lvl>
    <w:lvl w:ilvl="3" w:tplc="7FF08684">
      <w:start w:val="1"/>
      <w:numFmt w:val="decimal"/>
      <w:lvlText w:val="%4."/>
      <w:lvlJc w:val="left"/>
      <w:pPr>
        <w:ind w:left="2880" w:hanging="360"/>
      </w:pPr>
    </w:lvl>
    <w:lvl w:ilvl="4" w:tplc="E4B21CCE">
      <w:start w:val="1"/>
      <w:numFmt w:val="lowerLetter"/>
      <w:lvlText w:val="%5."/>
      <w:lvlJc w:val="left"/>
      <w:pPr>
        <w:ind w:left="3600" w:hanging="360"/>
      </w:pPr>
    </w:lvl>
    <w:lvl w:ilvl="5" w:tplc="956CEEDA">
      <w:start w:val="1"/>
      <w:numFmt w:val="lowerRoman"/>
      <w:lvlText w:val="%6."/>
      <w:lvlJc w:val="right"/>
      <w:pPr>
        <w:ind w:left="4320" w:hanging="180"/>
      </w:pPr>
    </w:lvl>
    <w:lvl w:ilvl="6" w:tplc="BEBA9240">
      <w:start w:val="1"/>
      <w:numFmt w:val="decimal"/>
      <w:lvlText w:val="%7."/>
      <w:lvlJc w:val="left"/>
      <w:pPr>
        <w:ind w:left="5040" w:hanging="360"/>
      </w:pPr>
    </w:lvl>
    <w:lvl w:ilvl="7" w:tplc="36C21184">
      <w:start w:val="1"/>
      <w:numFmt w:val="lowerLetter"/>
      <w:lvlText w:val="%8."/>
      <w:lvlJc w:val="left"/>
      <w:pPr>
        <w:ind w:left="5760" w:hanging="360"/>
      </w:pPr>
    </w:lvl>
    <w:lvl w:ilvl="8" w:tplc="5E3C77EA">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94"/>
    <w:rsid w:val="00053BE2"/>
    <w:rsid w:val="00124B87"/>
    <w:rsid w:val="001F51B8"/>
    <w:rsid w:val="00231F46"/>
    <w:rsid w:val="002649C6"/>
    <w:rsid w:val="002A101F"/>
    <w:rsid w:val="002D6C1A"/>
    <w:rsid w:val="00311450"/>
    <w:rsid w:val="003367AB"/>
    <w:rsid w:val="00396F99"/>
    <w:rsid w:val="004079DF"/>
    <w:rsid w:val="0045508A"/>
    <w:rsid w:val="004644B1"/>
    <w:rsid w:val="00487F37"/>
    <w:rsid w:val="00491BFA"/>
    <w:rsid w:val="004F7F61"/>
    <w:rsid w:val="00500E8F"/>
    <w:rsid w:val="00580ECF"/>
    <w:rsid w:val="005A2B1A"/>
    <w:rsid w:val="005C615A"/>
    <w:rsid w:val="005E46C6"/>
    <w:rsid w:val="00622342"/>
    <w:rsid w:val="00634CDA"/>
    <w:rsid w:val="00647B91"/>
    <w:rsid w:val="0065137C"/>
    <w:rsid w:val="006666FF"/>
    <w:rsid w:val="00682222"/>
    <w:rsid w:val="006853AA"/>
    <w:rsid w:val="006938BE"/>
    <w:rsid w:val="006D280C"/>
    <w:rsid w:val="006F536E"/>
    <w:rsid w:val="0070144E"/>
    <w:rsid w:val="00780281"/>
    <w:rsid w:val="00781D23"/>
    <w:rsid w:val="007B3E68"/>
    <w:rsid w:val="007F2A29"/>
    <w:rsid w:val="007F4719"/>
    <w:rsid w:val="008068BC"/>
    <w:rsid w:val="0080748F"/>
    <w:rsid w:val="0084566B"/>
    <w:rsid w:val="00847AFB"/>
    <w:rsid w:val="008B4995"/>
    <w:rsid w:val="0099732B"/>
    <w:rsid w:val="009A6F0F"/>
    <w:rsid w:val="009F0466"/>
    <w:rsid w:val="009F2A0C"/>
    <w:rsid w:val="00A335C4"/>
    <w:rsid w:val="00A46B34"/>
    <w:rsid w:val="00AF3E89"/>
    <w:rsid w:val="00B02370"/>
    <w:rsid w:val="00B31F2A"/>
    <w:rsid w:val="00B62A8C"/>
    <w:rsid w:val="00B91178"/>
    <w:rsid w:val="00BC7ECF"/>
    <w:rsid w:val="00BD4AE6"/>
    <w:rsid w:val="00CA2B94"/>
    <w:rsid w:val="00D30718"/>
    <w:rsid w:val="00D5129D"/>
    <w:rsid w:val="00D76640"/>
    <w:rsid w:val="00D8041C"/>
    <w:rsid w:val="00DA3842"/>
    <w:rsid w:val="00E261D9"/>
    <w:rsid w:val="00EA27A1"/>
    <w:rsid w:val="00ED0C65"/>
    <w:rsid w:val="00EDAE7B"/>
    <w:rsid w:val="00F510E0"/>
    <w:rsid w:val="00F6272A"/>
    <w:rsid w:val="00F94BE6"/>
    <w:rsid w:val="00FE5336"/>
    <w:rsid w:val="02897EDC"/>
    <w:rsid w:val="034D4523"/>
    <w:rsid w:val="04254F3D"/>
    <w:rsid w:val="048E1E61"/>
    <w:rsid w:val="0A208FAB"/>
    <w:rsid w:val="0B22AC84"/>
    <w:rsid w:val="0B6CF676"/>
    <w:rsid w:val="0CBC050A"/>
    <w:rsid w:val="0E0FF982"/>
    <w:rsid w:val="138A174D"/>
    <w:rsid w:val="185D8870"/>
    <w:rsid w:val="1C879ADD"/>
    <w:rsid w:val="1CE4FEF1"/>
    <w:rsid w:val="1D17D136"/>
    <w:rsid w:val="1FAE7DF5"/>
    <w:rsid w:val="1FC2029C"/>
    <w:rsid w:val="204F71F8"/>
    <w:rsid w:val="2497CFCA"/>
    <w:rsid w:val="27728030"/>
    <w:rsid w:val="2A12CC79"/>
    <w:rsid w:val="2CBAC8FC"/>
    <w:rsid w:val="2D699271"/>
    <w:rsid w:val="33AE7256"/>
    <w:rsid w:val="3572AD78"/>
    <w:rsid w:val="36531FD4"/>
    <w:rsid w:val="3DFFF286"/>
    <w:rsid w:val="45AC2AFE"/>
    <w:rsid w:val="487E1598"/>
    <w:rsid w:val="487E7EBC"/>
    <w:rsid w:val="4A073F8F"/>
    <w:rsid w:val="4E4A4C9B"/>
    <w:rsid w:val="53F1E9D4"/>
    <w:rsid w:val="568B9E94"/>
    <w:rsid w:val="57298A96"/>
    <w:rsid w:val="578B57B3"/>
    <w:rsid w:val="5893E86C"/>
    <w:rsid w:val="59FE8BD3"/>
    <w:rsid w:val="5BCD4ADD"/>
    <w:rsid w:val="611D1D6A"/>
    <w:rsid w:val="6C0E77A2"/>
    <w:rsid w:val="70D8DB94"/>
    <w:rsid w:val="72E3D6B0"/>
    <w:rsid w:val="736AEBA2"/>
    <w:rsid w:val="76401084"/>
    <w:rsid w:val="77AE3AA2"/>
    <w:rsid w:val="78445112"/>
    <w:rsid w:val="78A4C1CE"/>
    <w:rsid w:val="7918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8F019"/>
  <w15:docId w15:val="{66AE42F6-1F39-4E93-9810-B37F4A7F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120"/>
      <w:outlineLvl w:val="0"/>
    </w:pPr>
    <w:rPr>
      <w:sz w:val="28"/>
      <w:szCs w:val="28"/>
    </w:rPr>
  </w:style>
  <w:style w:type="paragraph" w:styleId="Heading2">
    <w:name w:val="heading 2"/>
    <w:basedOn w:val="Normal"/>
    <w:uiPriority w:val="1"/>
    <w:qFormat/>
    <w:pPr>
      <w:ind w:left="120"/>
      <w:outlineLvl w:val="1"/>
    </w:pPr>
    <w:rPr>
      <w:b/>
      <w:bCs/>
      <w:sz w:val="26"/>
      <w:szCs w:val="26"/>
    </w:rPr>
  </w:style>
  <w:style w:type="paragraph" w:styleId="Heading4">
    <w:name w:val="heading 4"/>
    <w:basedOn w:val="Normal"/>
    <w:next w:val="Normal"/>
    <w:link w:val="Heading4Char"/>
    <w:uiPriority w:val="9"/>
    <w:semiHidden/>
    <w:unhideWhenUsed/>
    <w:qFormat/>
    <w:rsid w:val="00B31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60" w:right="117" w:hanging="294"/>
      <w:jc w:val="both"/>
    </w:pPr>
  </w:style>
  <w:style w:type="paragraph" w:customStyle="1" w:styleId="TableParagraph">
    <w:name w:val="Table Paragraph"/>
    <w:basedOn w:val="Normal"/>
    <w:uiPriority w:val="1"/>
    <w:qFormat/>
  </w:style>
  <w:style w:type="character" w:styleId="Hyperlink">
    <w:name w:val="Hyperlink"/>
    <w:basedOn w:val="DefaultParagraphFont"/>
    <w:rsid w:val="002D6C1A"/>
    <w:rPr>
      <w:color w:val="0000FF"/>
      <w:u w:val="single"/>
    </w:rPr>
  </w:style>
  <w:style w:type="character" w:styleId="Strong">
    <w:name w:val="Strong"/>
    <w:basedOn w:val="DefaultParagraphFont"/>
    <w:qFormat/>
    <w:rsid w:val="002D6C1A"/>
    <w:rPr>
      <w:b/>
      <w:bCs/>
    </w:rPr>
  </w:style>
  <w:style w:type="paragraph" w:styleId="BalloonText">
    <w:name w:val="Balloon Text"/>
    <w:basedOn w:val="Normal"/>
    <w:link w:val="BalloonTextChar"/>
    <w:uiPriority w:val="99"/>
    <w:semiHidden/>
    <w:unhideWhenUsed/>
    <w:rsid w:val="00487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F37"/>
    <w:rPr>
      <w:rFonts w:ascii="Segoe UI" w:eastAsia="Arial" w:hAnsi="Segoe UI" w:cs="Segoe UI"/>
      <w:sz w:val="18"/>
      <w:szCs w:val="18"/>
    </w:rPr>
  </w:style>
  <w:style w:type="character" w:customStyle="1" w:styleId="Heading4Char">
    <w:name w:val="Heading 4 Char"/>
    <w:basedOn w:val="DefaultParagraphFont"/>
    <w:link w:val="Heading4"/>
    <w:uiPriority w:val="9"/>
    <w:semiHidden/>
    <w:rsid w:val="00B31F2A"/>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B02370"/>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7F4719"/>
    <w:rPr>
      <w:sz w:val="16"/>
      <w:szCs w:val="16"/>
    </w:rPr>
  </w:style>
  <w:style w:type="paragraph" w:styleId="CommentText">
    <w:name w:val="annotation text"/>
    <w:basedOn w:val="Normal"/>
    <w:link w:val="CommentTextChar"/>
    <w:uiPriority w:val="99"/>
    <w:semiHidden/>
    <w:unhideWhenUsed/>
    <w:rsid w:val="007F4719"/>
    <w:rPr>
      <w:sz w:val="20"/>
      <w:szCs w:val="20"/>
    </w:rPr>
  </w:style>
  <w:style w:type="character" w:customStyle="1" w:styleId="CommentTextChar">
    <w:name w:val="Comment Text Char"/>
    <w:basedOn w:val="DefaultParagraphFont"/>
    <w:link w:val="CommentText"/>
    <w:uiPriority w:val="99"/>
    <w:semiHidden/>
    <w:rsid w:val="007F47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4719"/>
    <w:rPr>
      <w:b/>
      <w:bCs/>
    </w:rPr>
  </w:style>
  <w:style w:type="character" w:customStyle="1" w:styleId="CommentSubjectChar">
    <w:name w:val="Comment Subject Char"/>
    <w:basedOn w:val="CommentTextChar"/>
    <w:link w:val="CommentSubject"/>
    <w:uiPriority w:val="99"/>
    <w:semiHidden/>
    <w:rsid w:val="007F471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852636">
      <w:bodyDiv w:val="1"/>
      <w:marLeft w:val="0"/>
      <w:marRight w:val="0"/>
      <w:marTop w:val="0"/>
      <w:marBottom w:val="0"/>
      <w:divBdr>
        <w:top w:val="none" w:sz="0" w:space="0" w:color="auto"/>
        <w:left w:val="none" w:sz="0" w:space="0" w:color="auto"/>
        <w:bottom w:val="none" w:sz="0" w:space="0" w:color="auto"/>
        <w:right w:val="none" w:sz="0" w:space="0" w:color="auto"/>
      </w:divBdr>
    </w:div>
    <w:div w:id="1459838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5BE215FF3614D8A811B5300E9C5E2" ma:contentTypeVersion="12" ma:contentTypeDescription="Create a new document." ma:contentTypeScope="" ma:versionID="272dab34284719683e9e85d62a49ef9c">
  <xsd:schema xmlns:xsd="http://www.w3.org/2001/XMLSchema" xmlns:xs="http://www.w3.org/2001/XMLSchema" xmlns:p="http://schemas.microsoft.com/office/2006/metadata/properties" xmlns:ns3="885b6a7f-f3b2-481f-854c-0a60e969544e" xmlns:ns4="ffe5458a-a919-4b5f-9703-4810915657d1" targetNamespace="http://schemas.microsoft.com/office/2006/metadata/properties" ma:root="true" ma:fieldsID="855f67435a291a62fadb5b09fc669db1" ns3:_="" ns4:_="">
    <xsd:import namespace="885b6a7f-f3b2-481f-854c-0a60e969544e"/>
    <xsd:import namespace="ffe5458a-a919-4b5f-9703-4810915657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6a7f-f3b2-481f-854c-0a60e9695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5458a-a919-4b5f-9703-4810915657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3076-2432-4CD5-95FC-0DA4684B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6a7f-f3b2-481f-854c-0a60e969544e"/>
    <ds:schemaRef ds:uri="ffe5458a-a919-4b5f-9703-481091565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2B535-832B-4EB6-A443-48F39BA3492E}">
  <ds:schemaRefs>
    <ds:schemaRef ds:uri="http://schemas.microsoft.com/sharepoint/v3/contenttype/forms"/>
  </ds:schemaRefs>
</ds:datastoreItem>
</file>

<file path=customXml/itemProps3.xml><?xml version="1.0" encoding="utf-8"?>
<ds:datastoreItem xmlns:ds="http://schemas.openxmlformats.org/officeDocument/2006/customXml" ds:itemID="{B83727E1-8AAB-4FB3-A15A-FA5DE0D57E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1C7C1-5324-5044-B33C-60ADDF69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Jennifer U</dc:creator>
  <cp:lastModifiedBy>Moran, Kathleen Mary</cp:lastModifiedBy>
  <cp:revision>2</cp:revision>
  <dcterms:created xsi:type="dcterms:W3CDTF">2021-06-30T18:38:00Z</dcterms:created>
  <dcterms:modified xsi:type="dcterms:W3CDTF">2021-06-30T18:38:00Z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Apache FOP Version 1.0</vt:lpwstr>
  </property>
  <property fmtid="{D5CDD505-2E9C-101B-9397-08002B2CF9AE}" pid="4" name="LastSaved">
    <vt:filetime>2017-07-06T00:00:00Z</vt:filetime>
  </property>
  <property fmtid="{D5CDD505-2E9C-101B-9397-08002B2CF9AE}" pid="5" name="ContentTypeId">
    <vt:lpwstr>0x0101001765BE215FF3614D8A811B5300E9C5E2</vt:lpwstr>
  </property>
</Properties>
</file>